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3942D" w14:textId="77777777" w:rsidR="00A603B2" w:rsidRDefault="00A603B2" w:rsidP="005A38CE">
      <w:pPr>
        <w:spacing w:before="39"/>
        <w:rPr>
          <w:b/>
          <w:color w:val="A8184B"/>
          <w:sz w:val="3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E69F43F" wp14:editId="6C65BE91">
            <wp:simplePos x="0" y="0"/>
            <wp:positionH relativeFrom="page">
              <wp:align>left</wp:align>
            </wp:positionH>
            <wp:positionV relativeFrom="paragraph">
              <wp:posOffset>-565785</wp:posOffset>
            </wp:positionV>
            <wp:extent cx="7560000" cy="1879200"/>
            <wp:effectExtent l="0" t="0" r="317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8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87536" w14:textId="77777777" w:rsidR="00A603B2" w:rsidRDefault="00A603B2" w:rsidP="00A603B2">
      <w:pPr>
        <w:spacing w:before="39"/>
        <w:ind w:left="284"/>
        <w:rPr>
          <w:b/>
          <w:color w:val="A8184B"/>
          <w:sz w:val="30"/>
        </w:rPr>
      </w:pPr>
    </w:p>
    <w:p w14:paraId="297D2C43" w14:textId="76744F9F" w:rsidR="001E018F" w:rsidRDefault="004B7C57" w:rsidP="004B7C57">
      <w:pPr>
        <w:tabs>
          <w:tab w:val="left" w:pos="3075"/>
        </w:tabs>
        <w:spacing w:before="39"/>
        <w:rPr>
          <w:b/>
          <w:color w:val="A8184B"/>
          <w:sz w:val="32"/>
        </w:rPr>
      </w:pPr>
      <w:r>
        <w:rPr>
          <w:b/>
          <w:color w:val="A8184B"/>
          <w:sz w:val="32"/>
        </w:rPr>
        <w:tab/>
      </w:r>
    </w:p>
    <w:p w14:paraId="3E0B34C1" w14:textId="77777777" w:rsidR="004B7C57" w:rsidRPr="004B7C57" w:rsidRDefault="004B7C57" w:rsidP="005A38CE">
      <w:pPr>
        <w:jc w:val="center"/>
        <w:rPr>
          <w:b/>
          <w:bCs/>
          <w:color w:val="A50358"/>
          <w:sz w:val="28"/>
          <w:szCs w:val="28"/>
        </w:rPr>
      </w:pPr>
    </w:p>
    <w:p w14:paraId="66136C33" w14:textId="671F7CFF" w:rsidR="005A38CE" w:rsidRPr="00594BD9" w:rsidRDefault="005A38CE" w:rsidP="005A38CE">
      <w:pPr>
        <w:jc w:val="center"/>
        <w:rPr>
          <w:b/>
          <w:bCs/>
          <w:color w:val="A50358"/>
          <w:sz w:val="36"/>
          <w:szCs w:val="36"/>
        </w:rPr>
      </w:pPr>
      <w:r w:rsidRPr="005A38CE">
        <w:rPr>
          <w:b/>
          <w:bCs/>
          <w:color w:val="A50358"/>
          <w:sz w:val="36"/>
          <w:szCs w:val="36"/>
        </w:rPr>
        <w:t>Uczciwi zyskują znacznie więcej</w:t>
      </w:r>
      <w:r>
        <w:rPr>
          <w:b/>
          <w:bCs/>
          <w:color w:val="A50358"/>
          <w:sz w:val="36"/>
          <w:szCs w:val="36"/>
        </w:rPr>
        <w:br/>
        <w:t xml:space="preserve">- </w:t>
      </w:r>
      <w:r w:rsidRPr="00594BD9">
        <w:rPr>
          <w:b/>
          <w:bCs/>
          <w:color w:val="A50358"/>
          <w:sz w:val="36"/>
          <w:szCs w:val="36"/>
        </w:rPr>
        <w:t>XXV</w:t>
      </w:r>
      <w:r>
        <w:rPr>
          <w:b/>
          <w:bCs/>
          <w:color w:val="A50358"/>
          <w:sz w:val="36"/>
          <w:szCs w:val="36"/>
        </w:rPr>
        <w:t>II</w:t>
      </w:r>
      <w:r w:rsidRPr="00594BD9">
        <w:rPr>
          <w:b/>
          <w:bCs/>
          <w:color w:val="A50358"/>
          <w:sz w:val="36"/>
          <w:szCs w:val="36"/>
        </w:rPr>
        <w:t xml:space="preserve"> edycja programu Przedsiębiorstwo Fair Play</w:t>
      </w:r>
    </w:p>
    <w:p w14:paraId="122ADCD6" w14:textId="77777777" w:rsidR="005A38CE" w:rsidRPr="004B7C57" w:rsidRDefault="005A38CE" w:rsidP="005A38CE">
      <w:pPr>
        <w:jc w:val="center"/>
        <w:rPr>
          <w:b/>
          <w:bCs/>
          <w:color w:val="A50358"/>
          <w:sz w:val="10"/>
          <w:szCs w:val="10"/>
        </w:rPr>
      </w:pPr>
    </w:p>
    <w:p w14:paraId="1166BE55" w14:textId="164CB32B" w:rsidR="005A38CE" w:rsidRPr="00CD49C4" w:rsidRDefault="005A38CE" w:rsidP="005A38CE">
      <w:pPr>
        <w:spacing w:before="240"/>
        <w:jc w:val="right"/>
        <w:rPr>
          <w:i/>
          <w:szCs w:val="24"/>
        </w:rPr>
      </w:pPr>
      <w:r w:rsidRPr="009D3508">
        <w:rPr>
          <w:i/>
          <w:sz w:val="20"/>
          <w:szCs w:val="28"/>
        </w:rPr>
        <w:t xml:space="preserve">Informacja prasowa: </w:t>
      </w:r>
      <w:r w:rsidR="00A47D08">
        <w:rPr>
          <w:i/>
          <w:sz w:val="20"/>
          <w:szCs w:val="28"/>
        </w:rPr>
        <w:t>2</w:t>
      </w:r>
      <w:r w:rsidR="00D91DDE">
        <w:rPr>
          <w:i/>
          <w:sz w:val="20"/>
          <w:szCs w:val="28"/>
        </w:rPr>
        <w:t xml:space="preserve"> </w:t>
      </w:r>
      <w:r w:rsidR="00A47D08">
        <w:rPr>
          <w:i/>
          <w:sz w:val="20"/>
          <w:szCs w:val="28"/>
        </w:rPr>
        <w:t>kwietnia</w:t>
      </w:r>
      <w:r w:rsidRPr="009D3508">
        <w:rPr>
          <w:i/>
          <w:sz w:val="20"/>
          <w:szCs w:val="28"/>
        </w:rPr>
        <w:t xml:space="preserve"> 202</w:t>
      </w:r>
      <w:r>
        <w:rPr>
          <w:i/>
          <w:sz w:val="20"/>
          <w:szCs w:val="28"/>
        </w:rPr>
        <w:t>4</w:t>
      </w:r>
      <w:r w:rsidRPr="009D3508">
        <w:rPr>
          <w:i/>
          <w:sz w:val="20"/>
          <w:szCs w:val="28"/>
        </w:rPr>
        <w:t xml:space="preserve"> r</w:t>
      </w:r>
      <w:r w:rsidRPr="00CD49C4">
        <w:rPr>
          <w:i/>
          <w:sz w:val="18"/>
          <w:szCs w:val="24"/>
        </w:rPr>
        <w:t>.</w:t>
      </w:r>
    </w:p>
    <w:p w14:paraId="6374A0D0" w14:textId="77777777" w:rsidR="004A0898" w:rsidRDefault="004A0898" w:rsidP="002444BD">
      <w:pPr>
        <w:jc w:val="both"/>
        <w:rPr>
          <w:b/>
        </w:rPr>
      </w:pPr>
    </w:p>
    <w:p w14:paraId="1259032B" w14:textId="33459447" w:rsidR="00795ACC" w:rsidRPr="00E60E52" w:rsidRDefault="004A0898" w:rsidP="002444BD">
      <w:pPr>
        <w:jc w:val="both"/>
        <w:rPr>
          <w:b/>
          <w:bCs/>
        </w:rPr>
      </w:pPr>
      <w:r w:rsidRPr="004A0898">
        <w:rPr>
          <w:b/>
        </w:rPr>
        <w:t xml:space="preserve">Podejmowanie właściwych decyzji i wyborów biznesowych staje się coraz trudniejsze. W obliczu szybko zmieniającego się świata, walczących ze sobą sił politycznych i nowych uwarunkowań prawnych łatwo o błąd. Nie jeden przedsiębiorca przekonał się, że bez współpracy opartej na odpowiednich wartościach, szacunku, zaufaniu i przestrzeganiu </w:t>
      </w:r>
      <w:r w:rsidR="0091362E">
        <w:rPr>
          <w:b/>
        </w:rPr>
        <w:t>ustalonych zasad</w:t>
      </w:r>
      <w:r w:rsidRPr="004A0898">
        <w:rPr>
          <w:b/>
        </w:rPr>
        <w:t xml:space="preserve"> sukcesy mogą okazać się wyjątkowo krótkotrwałe. </w:t>
      </w:r>
      <w:r w:rsidR="00795ACC">
        <w:rPr>
          <w:b/>
        </w:rPr>
        <w:t>P</w:t>
      </w:r>
      <w:r w:rsidR="00795ACC" w:rsidRPr="002444BD">
        <w:rPr>
          <w:b/>
        </w:rPr>
        <w:t xml:space="preserve">rogram Przedsiębiorstwo Fair Play od ponad 26 lat </w:t>
      </w:r>
      <w:r w:rsidR="00795ACC">
        <w:rPr>
          <w:b/>
        </w:rPr>
        <w:t>z</w:t>
      </w:r>
      <w:r w:rsidR="00795ACC" w:rsidRPr="002444BD">
        <w:rPr>
          <w:b/>
        </w:rPr>
        <w:t>achęc</w:t>
      </w:r>
      <w:r w:rsidR="00795ACC">
        <w:rPr>
          <w:b/>
        </w:rPr>
        <w:t>a polskie przedsiębiorstwa</w:t>
      </w:r>
      <w:r w:rsidR="00795ACC" w:rsidRPr="002444BD">
        <w:rPr>
          <w:b/>
        </w:rPr>
        <w:t xml:space="preserve"> do codziennego stosowania uczciwych norm postępowania </w:t>
      </w:r>
      <w:r w:rsidR="00A47D08">
        <w:rPr>
          <w:b/>
        </w:rPr>
        <w:br/>
      </w:r>
      <w:r w:rsidR="00795ACC" w:rsidRPr="002444BD">
        <w:rPr>
          <w:b/>
        </w:rPr>
        <w:t xml:space="preserve">w </w:t>
      </w:r>
      <w:r w:rsidR="00795ACC">
        <w:rPr>
          <w:b/>
        </w:rPr>
        <w:t xml:space="preserve">utrzymywanych przez firmy </w:t>
      </w:r>
      <w:r w:rsidR="00795ACC" w:rsidRPr="002444BD">
        <w:rPr>
          <w:b/>
        </w:rPr>
        <w:t xml:space="preserve">relacjach. </w:t>
      </w:r>
      <w:r w:rsidR="00795ACC">
        <w:rPr>
          <w:b/>
        </w:rPr>
        <w:t>Etyka w biznesie t</w:t>
      </w:r>
      <w:r w:rsidR="00795ACC" w:rsidRPr="002444BD">
        <w:rPr>
          <w:b/>
        </w:rPr>
        <w:t>o sprawdzony sposób na budowanie trwałej i silnej pozycji firmy</w:t>
      </w:r>
      <w:r w:rsidR="00795ACC">
        <w:rPr>
          <w:b/>
        </w:rPr>
        <w:t>.</w:t>
      </w:r>
    </w:p>
    <w:p w14:paraId="03366CB6" w14:textId="04789439" w:rsidR="005A38CE" w:rsidRPr="004D79F3" w:rsidRDefault="00A42BD2" w:rsidP="005A38CE">
      <w:pPr>
        <w:spacing w:before="240"/>
        <w:rPr>
          <w:b/>
          <w:bCs/>
          <w:color w:val="A50358"/>
          <w:szCs w:val="24"/>
        </w:rPr>
      </w:pPr>
      <w:r>
        <w:rPr>
          <w:b/>
          <w:bCs/>
          <w:color w:val="A50358"/>
          <w:szCs w:val="24"/>
        </w:rPr>
        <w:t xml:space="preserve">Czy Twoja firma jest </w:t>
      </w:r>
      <w:r w:rsidRPr="00A42BD2">
        <w:rPr>
          <w:b/>
          <w:bCs/>
          <w:i/>
          <w:iCs/>
          <w:color w:val="A50358"/>
          <w:szCs w:val="24"/>
        </w:rPr>
        <w:t xml:space="preserve">fair </w:t>
      </w:r>
      <w:proofErr w:type="spellStart"/>
      <w:r w:rsidRPr="00A42BD2">
        <w:rPr>
          <w:b/>
          <w:bCs/>
          <w:i/>
          <w:iCs/>
          <w:color w:val="A50358"/>
          <w:szCs w:val="24"/>
        </w:rPr>
        <w:t>play</w:t>
      </w:r>
      <w:proofErr w:type="spellEnd"/>
      <w:r>
        <w:rPr>
          <w:b/>
          <w:bCs/>
          <w:color w:val="A50358"/>
          <w:szCs w:val="24"/>
        </w:rPr>
        <w:t>?</w:t>
      </w:r>
    </w:p>
    <w:p w14:paraId="59F5452D" w14:textId="34A8B163" w:rsidR="005A38CE" w:rsidRPr="00CB325E" w:rsidRDefault="00A42BD2" w:rsidP="005A38CE">
      <w:pPr>
        <w:jc w:val="both"/>
      </w:pPr>
      <w:r>
        <w:t>Już p</w:t>
      </w:r>
      <w:r w:rsidR="005A38CE" w:rsidRPr="00CB325E">
        <w:t>o raz 2</w:t>
      </w:r>
      <w:r>
        <w:t>7</w:t>
      </w:r>
      <w:r w:rsidR="00303012">
        <w:t>.</w:t>
      </w:r>
      <w:r w:rsidR="005A38CE" w:rsidRPr="00CB325E">
        <w:t xml:space="preserve"> </w:t>
      </w:r>
      <w:proofErr w:type="gramStart"/>
      <w:r w:rsidR="005A38CE" w:rsidRPr="00CB325E">
        <w:t>organizatorzy</w:t>
      </w:r>
      <w:proofErr w:type="gramEnd"/>
      <w:r w:rsidR="005A38CE" w:rsidRPr="00CB325E">
        <w:t xml:space="preserve"> zapraszają firmy z całej Polski do dołączenia do społeczności Przedsiębiorstw Fair Play i potwierdzenia, że uczciwość jest </w:t>
      </w:r>
      <w:r w:rsidR="005A38CE">
        <w:t>wartością przewodnią</w:t>
      </w:r>
      <w:r w:rsidR="005A38CE" w:rsidRPr="00CB325E">
        <w:t xml:space="preserve"> w przedsiębiorstwie. Deklaracje zgłoszeniowe można przesyłać za pomocą </w:t>
      </w:r>
      <w:hyperlink r:id="rId8" w:history="1">
        <w:r w:rsidR="005A38CE" w:rsidRPr="00CB325E">
          <w:rPr>
            <w:rStyle w:val="Hipercze"/>
            <w:b/>
            <w:bCs/>
            <w:color w:val="A50358"/>
          </w:rPr>
          <w:t>elektronicznego formularza</w:t>
        </w:r>
      </w:hyperlink>
      <w:r w:rsidR="005A38CE" w:rsidRPr="00CB325E">
        <w:t xml:space="preserve">. Warunkiem uczestnictwa jest prowadzenie działalności </w:t>
      </w:r>
      <w:proofErr w:type="gramStart"/>
      <w:r w:rsidR="005A38CE" w:rsidRPr="006F5866">
        <w:t>gospodarczej od co</w:t>
      </w:r>
      <w:proofErr w:type="gramEnd"/>
      <w:r w:rsidR="005A38CE" w:rsidRPr="00CB325E">
        <w:t xml:space="preserve"> najmniej roku kalendarzowego, poprzedzającego tegoroczną edycję oraz posiadanie siedziby w Polsce. Zgłoszenia mogą wysyłać wszystkie przedsiębiorstwa niezależnie od branży</w:t>
      </w:r>
      <w:r w:rsidR="00303012">
        <w:t xml:space="preserve"> i formy prawnej</w:t>
      </w:r>
      <w:r w:rsidR="005A38CE" w:rsidRPr="00CB325E">
        <w:t xml:space="preserve">. </w:t>
      </w:r>
    </w:p>
    <w:p w14:paraId="316BBEFF" w14:textId="77777777" w:rsidR="005A38CE" w:rsidRPr="00CB325E" w:rsidRDefault="005A38CE" w:rsidP="005A38CE">
      <w:pPr>
        <w:jc w:val="both"/>
      </w:pPr>
    </w:p>
    <w:p w14:paraId="1A3530FB" w14:textId="0F564827" w:rsidR="005A38CE" w:rsidRPr="00CB325E" w:rsidRDefault="005A38CE" w:rsidP="005A38CE">
      <w:pPr>
        <w:jc w:val="both"/>
      </w:pPr>
      <w:r w:rsidRPr="00CB325E">
        <w:t>Po przesłaniu deklaracji zgłoszeniowej przedsiębiorstwo przystępuje do wypełnienia elektronicznej ankiety, w której wskazuje najważniejsze informacje dotyczące swojej działalności. W pierwszym etapie oceniana jest kondycja przedsiębiorstwa na podstawie wypełnionej przez nie ankiety. Następnie, w firmach zakwalifikowanych do II etapu, odbywają się wizyty audytorów, którzy weryfikują prawdziwość danych zawartych w ankietach. Jesienią Kapituła Programu</w:t>
      </w:r>
      <w:r w:rsidR="00E16C1B">
        <w:t xml:space="preserve"> </w:t>
      </w:r>
      <w:r w:rsidRPr="00CB325E">
        <w:t xml:space="preserve">podejmie decyzje </w:t>
      </w:r>
      <w:r w:rsidR="00A47D08">
        <w:br/>
      </w:r>
      <w:r w:rsidRPr="00CB325E">
        <w:t>o przyznaniu poszczególnych nagród. Każdą edycję programu kończy Wielka Gala Finałowa, podczas której następuje uroczyste ogłoszenie wyników</w:t>
      </w:r>
      <w:r w:rsidRPr="00CB325E">
        <w:rPr>
          <w:rFonts w:cs="Tahoma"/>
          <w:b/>
          <w:bCs/>
        </w:rPr>
        <w:t>.</w:t>
      </w:r>
    </w:p>
    <w:p w14:paraId="05A4BD84" w14:textId="52D8D184" w:rsidR="005A38CE" w:rsidRPr="00CB325E" w:rsidRDefault="00E16C1B" w:rsidP="005A38CE">
      <w:pPr>
        <w:spacing w:before="240"/>
        <w:jc w:val="both"/>
        <w:rPr>
          <w:b/>
          <w:bCs/>
          <w:color w:val="A50358"/>
        </w:rPr>
      </w:pPr>
      <w:r>
        <w:rPr>
          <w:b/>
          <w:bCs/>
          <w:color w:val="A50358"/>
        </w:rPr>
        <w:t>P</w:t>
      </w:r>
      <w:r w:rsidRPr="00E16C1B">
        <w:rPr>
          <w:b/>
          <w:bCs/>
          <w:color w:val="A50358"/>
        </w:rPr>
        <w:t>rzewag</w:t>
      </w:r>
      <w:r>
        <w:rPr>
          <w:b/>
          <w:bCs/>
          <w:color w:val="A50358"/>
        </w:rPr>
        <w:t>a</w:t>
      </w:r>
      <w:r w:rsidRPr="00E16C1B">
        <w:rPr>
          <w:b/>
          <w:bCs/>
          <w:color w:val="A50358"/>
        </w:rPr>
        <w:t xml:space="preserve"> Laureatów na tle innych firm</w:t>
      </w:r>
    </w:p>
    <w:p w14:paraId="1C072A80" w14:textId="2ACEAB8F" w:rsidR="005A38CE" w:rsidRDefault="0091081E" w:rsidP="00E16C1B">
      <w:pPr>
        <w:jc w:val="both"/>
      </w:pPr>
      <w:r>
        <w:t>Otrzymując</w:t>
      </w:r>
      <w:r w:rsidR="00E16C1B">
        <w:t xml:space="preserve"> Certyfikat Przedsiębiorstwo Fair Play </w:t>
      </w:r>
      <w:r w:rsidR="00B11786">
        <w:t>firmy</w:t>
      </w:r>
      <w:r w:rsidR="00BF6041">
        <w:t xml:space="preserve"> zyskują </w:t>
      </w:r>
      <w:r w:rsidR="00E16C1B">
        <w:t xml:space="preserve">prestiżowe wyróżnienie. To jeden </w:t>
      </w:r>
      <w:r w:rsidR="00A47D08">
        <w:br/>
      </w:r>
      <w:proofErr w:type="gramStart"/>
      <w:r w:rsidR="00E16C1B">
        <w:t>z</w:t>
      </w:r>
      <w:proofErr w:type="gramEnd"/>
      <w:r w:rsidR="00E16C1B">
        <w:t xml:space="preserve"> nielicznych</w:t>
      </w:r>
      <w:r w:rsidR="00BF6041" w:rsidRPr="00BF6041">
        <w:t xml:space="preserve"> </w:t>
      </w:r>
      <w:r w:rsidR="00BF6041">
        <w:t>certyfikatów</w:t>
      </w:r>
      <w:r w:rsidR="00E16C1B">
        <w:t xml:space="preserve">, które przyznawane są w oparciu o dogłębną weryfikację uczestników. Jego uzyskanie stanowi znaczący argument w walce konkurencyjnej i daje przewagę w przetargach </w:t>
      </w:r>
      <w:r w:rsidR="00A47D08">
        <w:br/>
      </w:r>
      <w:r w:rsidR="00E16C1B">
        <w:t>i konkursach ofertowych. Oprócz certyfikatu najlepsze firmy danej edycji otrzymują nagrodę główną programu Statuetkę Przedsiębiorstwo Fair Play. W programie przyznawane są także inne nagrody oraz wyróżnienia w kategoriach</w:t>
      </w:r>
      <w:r w:rsidR="00BF6041">
        <w:t xml:space="preserve"> takich jak</w:t>
      </w:r>
      <w:r w:rsidR="00E16C1B">
        <w:t xml:space="preserve"> ekologia </w:t>
      </w:r>
      <w:r w:rsidR="00BF6041">
        <w:t>czy i</w:t>
      </w:r>
      <w:r w:rsidR="00E16C1B">
        <w:t>nnowacyjność</w:t>
      </w:r>
      <w:r w:rsidR="00BF6041">
        <w:t xml:space="preserve">. </w:t>
      </w:r>
    </w:p>
    <w:p w14:paraId="113EA1A7" w14:textId="77777777" w:rsidR="003E7DD1" w:rsidRDefault="003E7DD1" w:rsidP="00E16C1B">
      <w:pPr>
        <w:jc w:val="both"/>
      </w:pPr>
    </w:p>
    <w:p w14:paraId="7900287F" w14:textId="17824114" w:rsidR="00E9108E" w:rsidRPr="00CB325E" w:rsidRDefault="003E7DD1" w:rsidP="0091081E">
      <w:pPr>
        <w:jc w:val="both"/>
      </w:pPr>
      <w:r>
        <w:t>Przedsiębiorstwa Fair Play wykorzystują logo programu w promocji swojej firmy, dając innym czytelny komunikat, że przedsiębiorstwo działa uczciwie. Używanie go pomaga im wzmocnić zaufanie nie tylko ze strony klientów, ale też dostawców, inwestorów czy potencjalnych pracowników.</w:t>
      </w:r>
      <w:r w:rsidR="0091081E">
        <w:t xml:space="preserve"> Jednocześnie konstrukcja programu Przedsiębiorstwo Fair Play i zakres jego działania pomaga w planowaniu strategicznym, zarządzaniu zespołem, wprowadzaniu wielu korzystnych zmian w działalności firmy </w:t>
      </w:r>
      <w:r w:rsidR="00A47D08">
        <w:br/>
      </w:r>
      <w:r w:rsidR="0091081E">
        <w:t>i dostosowywaniu jej do wymagań rynku.</w:t>
      </w:r>
    </w:p>
    <w:p w14:paraId="59F63728" w14:textId="3C2D1F22" w:rsidR="005A38CE" w:rsidRPr="00CB325E" w:rsidRDefault="0091081E" w:rsidP="005A38CE">
      <w:pPr>
        <w:spacing w:before="240"/>
        <w:jc w:val="both"/>
        <w:rPr>
          <w:b/>
          <w:bCs/>
          <w:color w:val="A50358"/>
        </w:rPr>
      </w:pPr>
      <w:r>
        <w:rPr>
          <w:b/>
          <w:bCs/>
          <w:color w:val="A50358"/>
        </w:rPr>
        <w:t xml:space="preserve">Społeczność, którą łączą te same wartości </w:t>
      </w:r>
    </w:p>
    <w:p w14:paraId="4A8B83D7" w14:textId="680DBF41" w:rsidR="0091362E" w:rsidRPr="00CB325E" w:rsidRDefault="00E60E52" w:rsidP="0091081E">
      <w:pPr>
        <w:jc w:val="both"/>
      </w:pPr>
      <w:r w:rsidRPr="00CB325E">
        <w:t>Na przestrzeni 2</w:t>
      </w:r>
      <w:r>
        <w:t>6</w:t>
      </w:r>
      <w:r w:rsidRPr="00CB325E">
        <w:t xml:space="preserve"> lat certyfikat został przyznany </w:t>
      </w:r>
      <w:r>
        <w:t>ponad</w:t>
      </w:r>
      <w:r w:rsidRPr="00CB325E">
        <w:t xml:space="preserve"> </w:t>
      </w:r>
      <w:r>
        <w:t>3</w:t>
      </w:r>
      <w:r w:rsidRPr="00CB325E">
        <w:t xml:space="preserve"> </w:t>
      </w:r>
      <w:r>
        <w:t>1</w:t>
      </w:r>
      <w:r w:rsidRPr="00CB325E">
        <w:t xml:space="preserve">00 firmom, w tym zarówno dużym </w:t>
      </w:r>
      <w:r w:rsidRPr="00CB325E">
        <w:lastRenderedPageBreak/>
        <w:t xml:space="preserve">przedsiębiorstwom, jak i tym mniejszym, działającym na lokalnych rynkach. Łącznie do programu napłynęło dotychczas </w:t>
      </w:r>
      <w:r>
        <w:t xml:space="preserve">ponad </w:t>
      </w:r>
      <w:r w:rsidRPr="00CB325E">
        <w:t>1</w:t>
      </w:r>
      <w:r>
        <w:t>2</w:t>
      </w:r>
      <w:r w:rsidRPr="00CB325E">
        <w:t xml:space="preserve"> </w:t>
      </w:r>
      <w:r>
        <w:t>00</w:t>
      </w:r>
      <w:r w:rsidRPr="00CB325E">
        <w:t>0 zgłoszeń.</w:t>
      </w:r>
      <w:r>
        <w:t xml:space="preserve"> </w:t>
      </w:r>
      <w:r w:rsidR="0091081E">
        <w:t xml:space="preserve">Grono </w:t>
      </w:r>
      <w:hyperlink r:id="rId9" w:tgtFrame="_blank" w:history="1">
        <w:r w:rsidR="00603D2C">
          <w:rPr>
            <w:rStyle w:val="Hipercze"/>
          </w:rPr>
          <w:t>Laureatów</w:t>
        </w:r>
      </w:hyperlink>
      <w:r w:rsidR="00603D2C">
        <w:t xml:space="preserve"> </w:t>
      </w:r>
      <w:r w:rsidR="0091081E">
        <w:t xml:space="preserve">programu tworzy silną społeczność, która daje możliwość nawiązania nowych i korzystnych kontaktów biznesowych. Organizowana na koniec każdej edycji gala gromadzi uczestników, partnerów i organizatorów programu, a także przedstawicieli władz państwowych, samorządowych, organizacji z otoczenia biznesu oraz mediów. To znane, lubiane i cenione przez biznes wydarzenie stanowi doskonałą przestrzeń do dyskusji, wymiany doświadczeń i integracji środowiska oraz nawiązania nowych kontaktów. </w:t>
      </w:r>
    </w:p>
    <w:p w14:paraId="3096422D" w14:textId="01249D37" w:rsidR="005A38CE" w:rsidRPr="00CB325E" w:rsidRDefault="00B11786" w:rsidP="005A38CE">
      <w:pPr>
        <w:spacing w:before="240"/>
        <w:jc w:val="both"/>
        <w:rPr>
          <w:b/>
          <w:bCs/>
          <w:color w:val="A50358"/>
        </w:rPr>
      </w:pPr>
      <w:r>
        <w:rPr>
          <w:b/>
          <w:bCs/>
          <w:color w:val="A50358"/>
        </w:rPr>
        <w:t xml:space="preserve">Wsparcie ze strony </w:t>
      </w:r>
      <w:r w:rsidR="004B7C57">
        <w:rPr>
          <w:b/>
          <w:bCs/>
          <w:color w:val="A50358"/>
        </w:rPr>
        <w:t>patronów, partnerów oraz mediów</w:t>
      </w:r>
    </w:p>
    <w:p w14:paraId="3B0E437D" w14:textId="553C52EB" w:rsidR="00E9108E" w:rsidRDefault="004B7C57" w:rsidP="005A38CE">
      <w:pPr>
        <w:jc w:val="both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2C0A1EED" wp14:editId="4A1C5875">
            <wp:simplePos x="0" y="0"/>
            <wp:positionH relativeFrom="margin">
              <wp:align>center</wp:align>
            </wp:positionH>
            <wp:positionV relativeFrom="paragraph">
              <wp:posOffset>1414401</wp:posOffset>
            </wp:positionV>
            <wp:extent cx="6491605" cy="4932680"/>
            <wp:effectExtent l="0" t="0" r="4445" b="1270"/>
            <wp:wrapNone/>
            <wp:docPr id="3" name="Obraz 3" descr="D:\QNAP-awaria\PFP 2024\Partnerzy PFP 2024\Partnerzy PFP2024_druk_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NAP-awaria\PFP 2024\Partnerzy PFP 2024\Partnerzy PFP2024_druk_ak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05" cy="493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8CE" w:rsidRPr="00CB325E">
        <w:t xml:space="preserve">Program Przedsiębiorstwo Fair Play cieszy się mocnym poparciem władz regionalnych. Jest ono dla Laureatów programu ważnym sygnałem, że </w:t>
      </w:r>
      <w:proofErr w:type="gramStart"/>
      <w:r w:rsidR="00064BEA" w:rsidRPr="00CB325E">
        <w:t xml:space="preserve">sposób </w:t>
      </w:r>
      <w:r w:rsidR="005A38CE" w:rsidRPr="00CB325E">
        <w:t>w jaki</w:t>
      </w:r>
      <w:proofErr w:type="gramEnd"/>
      <w:r w:rsidR="005A38CE" w:rsidRPr="00CB325E">
        <w:t xml:space="preserve"> rozwijają swoj</w:t>
      </w:r>
      <w:r w:rsidR="00064BEA">
        <w:t>e</w:t>
      </w:r>
      <w:r w:rsidR="005A38CE" w:rsidRPr="00CB325E">
        <w:t xml:space="preserve"> firm</w:t>
      </w:r>
      <w:r w:rsidR="00064BEA">
        <w:t>y</w:t>
      </w:r>
      <w:r w:rsidR="005A38CE" w:rsidRPr="00CB325E">
        <w:t xml:space="preserve"> jest istotny i zdobywa uznanie wśród innych. Uczciwe, stale rozwijające się firmy to wielka korzyść dla otoczenia. Są one siłą napędową swojego regionu – zapewniają miejsca pracy czy wpływy do budżetu</w:t>
      </w:r>
      <w:r w:rsidR="00064BEA">
        <w:t xml:space="preserve"> gminy lub miasta</w:t>
      </w:r>
      <w:r w:rsidR="005A38CE" w:rsidRPr="00CB325E">
        <w:t xml:space="preserve">. </w:t>
      </w:r>
      <w:proofErr w:type="gramStart"/>
      <w:r w:rsidR="005A38CE" w:rsidRPr="00CB325E">
        <w:t>Nic więc</w:t>
      </w:r>
      <w:proofErr w:type="gramEnd"/>
      <w:r w:rsidR="005A38CE" w:rsidRPr="00CB325E">
        <w:t xml:space="preserve"> dziwnego, że po raz kolejny program swoim patronatem obejmują Marszałkowie większości województw.</w:t>
      </w:r>
      <w:r>
        <w:t xml:space="preserve"> Jednocześnie nawiązywana jest współpraca z izbami gospodarczymi, stowarzyszeniami zrzeszającymi pracodawców oraz mediami ogólnopolskimi i branżowymi.</w:t>
      </w:r>
      <w:r w:rsidR="005A38CE" w:rsidRPr="00CB325E">
        <w:t xml:space="preserve"> Certyfikat dzięki tak szerokiemu poparciu </w:t>
      </w:r>
      <w:r>
        <w:t xml:space="preserve">oraz współpracy </w:t>
      </w:r>
      <w:r w:rsidR="005A38CE" w:rsidRPr="00CB325E">
        <w:t xml:space="preserve">staje się wyraźną rekomendacją, że z Przedsiębiorstwami Fair Play warto współpracować.  </w:t>
      </w:r>
    </w:p>
    <w:p w14:paraId="5ACD7615" w14:textId="0483F435" w:rsidR="00603D2C" w:rsidRDefault="00603D2C" w:rsidP="00CE7448">
      <w:pPr>
        <w:jc w:val="center"/>
        <w:rPr>
          <w:b/>
          <w:bCs/>
        </w:rPr>
      </w:pPr>
    </w:p>
    <w:p w14:paraId="6C8F4577" w14:textId="77777777" w:rsidR="00603D2C" w:rsidRDefault="00603D2C" w:rsidP="00CE7448">
      <w:pPr>
        <w:jc w:val="center"/>
      </w:pPr>
    </w:p>
    <w:p w14:paraId="6D0A3816" w14:textId="77777777" w:rsidR="00276C43" w:rsidRDefault="00276C43" w:rsidP="00CE7448">
      <w:pPr>
        <w:jc w:val="center"/>
      </w:pPr>
    </w:p>
    <w:p w14:paraId="3C16A68E" w14:textId="77777777" w:rsidR="00276C43" w:rsidRDefault="00276C43" w:rsidP="00CE7448">
      <w:pPr>
        <w:jc w:val="center"/>
      </w:pPr>
    </w:p>
    <w:p w14:paraId="4C006FE0" w14:textId="77777777" w:rsidR="00276C43" w:rsidRDefault="00276C43" w:rsidP="00CE7448">
      <w:pPr>
        <w:jc w:val="center"/>
      </w:pPr>
    </w:p>
    <w:p w14:paraId="47D0B97E" w14:textId="77777777" w:rsidR="00276C43" w:rsidRDefault="00276C43" w:rsidP="00CE7448">
      <w:pPr>
        <w:jc w:val="center"/>
      </w:pPr>
    </w:p>
    <w:p w14:paraId="2D68FDCD" w14:textId="77777777" w:rsidR="00276C43" w:rsidRDefault="00276C43" w:rsidP="00CE7448">
      <w:pPr>
        <w:jc w:val="center"/>
      </w:pPr>
    </w:p>
    <w:p w14:paraId="2FDD71F2" w14:textId="77777777" w:rsidR="00276C43" w:rsidRDefault="00276C43" w:rsidP="00CE7448">
      <w:pPr>
        <w:jc w:val="center"/>
      </w:pPr>
    </w:p>
    <w:p w14:paraId="5D692DE6" w14:textId="77777777" w:rsidR="00276C43" w:rsidRDefault="00276C43" w:rsidP="00CE7448">
      <w:pPr>
        <w:jc w:val="center"/>
      </w:pPr>
    </w:p>
    <w:p w14:paraId="2712BA5B" w14:textId="77777777" w:rsidR="00276C43" w:rsidRDefault="00276C43" w:rsidP="00CE7448">
      <w:pPr>
        <w:jc w:val="center"/>
      </w:pPr>
    </w:p>
    <w:p w14:paraId="1483FAD2" w14:textId="77777777" w:rsidR="00276C43" w:rsidRDefault="00276C43" w:rsidP="00CE7448">
      <w:pPr>
        <w:jc w:val="center"/>
      </w:pPr>
      <w:bookmarkStart w:id="0" w:name="_GoBack"/>
      <w:bookmarkEnd w:id="0"/>
    </w:p>
    <w:p w14:paraId="263A01E3" w14:textId="77777777" w:rsidR="00276C43" w:rsidRDefault="00276C43" w:rsidP="00CE7448">
      <w:pPr>
        <w:jc w:val="center"/>
      </w:pPr>
    </w:p>
    <w:p w14:paraId="1A6732C4" w14:textId="77777777" w:rsidR="00276C43" w:rsidRDefault="00276C43" w:rsidP="00CE7448">
      <w:pPr>
        <w:jc w:val="center"/>
      </w:pPr>
    </w:p>
    <w:p w14:paraId="04133FC1" w14:textId="77777777" w:rsidR="00276C43" w:rsidRDefault="00276C43" w:rsidP="00CE7448">
      <w:pPr>
        <w:jc w:val="center"/>
      </w:pPr>
    </w:p>
    <w:p w14:paraId="71818B94" w14:textId="77777777" w:rsidR="00276C43" w:rsidRDefault="00276C43" w:rsidP="00CE7448">
      <w:pPr>
        <w:jc w:val="center"/>
      </w:pPr>
    </w:p>
    <w:p w14:paraId="11D49D03" w14:textId="77777777" w:rsidR="00276C43" w:rsidRDefault="00276C43" w:rsidP="00CE7448">
      <w:pPr>
        <w:jc w:val="center"/>
      </w:pPr>
    </w:p>
    <w:p w14:paraId="24983377" w14:textId="77777777" w:rsidR="00276C43" w:rsidRDefault="00276C43" w:rsidP="00CE7448">
      <w:pPr>
        <w:jc w:val="center"/>
      </w:pPr>
    </w:p>
    <w:p w14:paraId="7DFB189F" w14:textId="77777777" w:rsidR="00276C43" w:rsidRDefault="00276C43" w:rsidP="00CE7448">
      <w:pPr>
        <w:jc w:val="center"/>
      </w:pPr>
    </w:p>
    <w:p w14:paraId="24EC750A" w14:textId="77777777" w:rsidR="00276C43" w:rsidRDefault="00276C43" w:rsidP="00CE7448">
      <w:pPr>
        <w:jc w:val="center"/>
      </w:pPr>
    </w:p>
    <w:p w14:paraId="1E52BC0E" w14:textId="77777777" w:rsidR="00276C43" w:rsidRDefault="00276C43" w:rsidP="00CE7448">
      <w:pPr>
        <w:jc w:val="center"/>
      </w:pPr>
    </w:p>
    <w:p w14:paraId="67051A22" w14:textId="77777777" w:rsidR="00276C43" w:rsidRDefault="00276C43" w:rsidP="00CE7448">
      <w:pPr>
        <w:jc w:val="center"/>
      </w:pPr>
    </w:p>
    <w:p w14:paraId="49C87B45" w14:textId="77777777" w:rsidR="00276C43" w:rsidRDefault="00276C43" w:rsidP="00CE7448">
      <w:pPr>
        <w:jc w:val="center"/>
      </w:pPr>
    </w:p>
    <w:p w14:paraId="2B2DD5A4" w14:textId="77777777" w:rsidR="00276C43" w:rsidRDefault="00276C43" w:rsidP="00CE7448">
      <w:pPr>
        <w:jc w:val="center"/>
      </w:pPr>
    </w:p>
    <w:p w14:paraId="1869CAAC" w14:textId="77777777" w:rsidR="00276C43" w:rsidRDefault="00276C43" w:rsidP="00CE7448">
      <w:pPr>
        <w:jc w:val="center"/>
      </w:pPr>
    </w:p>
    <w:p w14:paraId="2D90F703" w14:textId="77777777" w:rsidR="00276C43" w:rsidRDefault="00276C43" w:rsidP="00CE7448">
      <w:pPr>
        <w:jc w:val="center"/>
      </w:pPr>
    </w:p>
    <w:p w14:paraId="2D60EF5B" w14:textId="77777777" w:rsidR="00276C43" w:rsidRPr="004B7C57" w:rsidRDefault="00276C43" w:rsidP="00CE7448">
      <w:pPr>
        <w:jc w:val="center"/>
        <w:rPr>
          <w:sz w:val="36"/>
          <w:szCs w:val="36"/>
        </w:rPr>
      </w:pPr>
    </w:p>
    <w:p w14:paraId="622EE574" w14:textId="77777777" w:rsidR="00603D2C" w:rsidRDefault="00603D2C" w:rsidP="004B7C57"/>
    <w:p w14:paraId="783E5A83" w14:textId="4352FFDF" w:rsidR="00E9108E" w:rsidRDefault="00345734" w:rsidP="00CE7448">
      <w:pPr>
        <w:jc w:val="center"/>
      </w:pPr>
      <w:hyperlink r:id="rId11" w:history="1">
        <w:r w:rsidR="00E9108E">
          <w:rPr>
            <w:rStyle w:val="Hipercze"/>
            <w:b/>
            <w:color w:val="A50358"/>
          </w:rPr>
          <w:t>Szczegółowe zasady programu Przedsiębiorstwo Fair Play 2024</w:t>
        </w:r>
      </w:hyperlink>
    </w:p>
    <w:p w14:paraId="729AC85D" w14:textId="77777777" w:rsidR="00CE7448" w:rsidRDefault="00CE7448" w:rsidP="00CE7448">
      <w:pPr>
        <w:jc w:val="center"/>
      </w:pPr>
    </w:p>
    <w:p w14:paraId="186EBB5D" w14:textId="447C61F1" w:rsidR="00A0269D" w:rsidRPr="00E9108E" w:rsidRDefault="00A0269D" w:rsidP="00CE7448">
      <w:pPr>
        <w:jc w:val="center"/>
        <w:rPr>
          <w:rStyle w:val="Hipercze"/>
          <w:color w:val="auto"/>
          <w:u w:val="none"/>
        </w:rPr>
      </w:pPr>
      <w:r w:rsidRPr="00CB325E">
        <w:t xml:space="preserve">Aktualne informacje na temat programu Przedsiębiorstwo Fair Play i udziału w certyfikacji uzyskać można kontaktując się z biurem pod numerem </w:t>
      </w:r>
      <w:r w:rsidRPr="00A0269D">
        <w:t>22 630 98 02</w:t>
      </w:r>
      <w:r w:rsidRPr="00CB325E">
        <w:t xml:space="preserve"> lub na stronie </w:t>
      </w:r>
      <w:hyperlink r:id="rId12" w:history="1">
        <w:r w:rsidRPr="00CB325E">
          <w:rPr>
            <w:rStyle w:val="Hipercze"/>
            <w:color w:val="A50358"/>
          </w:rPr>
          <w:t>www.fairplay.pl</w:t>
        </w:r>
      </w:hyperlink>
    </w:p>
    <w:p w14:paraId="04D0EEAA" w14:textId="43C8F7D4" w:rsidR="001E018F" w:rsidRPr="004B7C57" w:rsidRDefault="005A38CE" w:rsidP="004B7C57">
      <w:pPr>
        <w:spacing w:before="240"/>
        <w:jc w:val="both"/>
        <w:rPr>
          <w:sz w:val="20"/>
        </w:rPr>
      </w:pPr>
      <w:r w:rsidRPr="006F5866">
        <w:t xml:space="preserve">Organizatorem programu jest </w:t>
      </w:r>
      <w:r w:rsidRPr="00CE7448">
        <w:rPr>
          <w:b/>
          <w:bCs/>
        </w:rPr>
        <w:t>Fundacja Instytut Badań nad Demokracją i Przedsiębiorstwem Prywatnym</w:t>
      </w:r>
      <w:r w:rsidRPr="006F5866">
        <w:t xml:space="preserve"> – jeden z pierwszych w Polsce niezależnych instytutów badawczych i polskich </w:t>
      </w:r>
      <w:proofErr w:type="spellStart"/>
      <w:r w:rsidRPr="006F5866">
        <w:t>think</w:t>
      </w:r>
      <w:proofErr w:type="spellEnd"/>
      <w:r w:rsidRPr="006F5866">
        <w:t xml:space="preserve"> tank. Program Przedsiębiorstwo Fair Play jest afiliowany przy Krajowej Izbie Gospodarczej.</w:t>
      </w:r>
    </w:p>
    <w:sectPr w:rsidR="001E018F" w:rsidRPr="004B7C57" w:rsidSect="00EF3AAA">
      <w:footerReference w:type="default" r:id="rId13"/>
      <w:pgSz w:w="11906" w:h="16838"/>
      <w:pgMar w:top="851" w:right="1417" w:bottom="1276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20EB9" w14:textId="77777777" w:rsidR="00345734" w:rsidRDefault="00345734" w:rsidP="00A603B2">
      <w:r>
        <w:separator/>
      </w:r>
    </w:p>
  </w:endnote>
  <w:endnote w:type="continuationSeparator" w:id="0">
    <w:p w14:paraId="4ACDB756" w14:textId="77777777" w:rsidR="00345734" w:rsidRDefault="00345734" w:rsidP="00A6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70B3A" w14:textId="77777777" w:rsidR="005A38CE" w:rsidRPr="005101A5" w:rsidRDefault="005A38CE" w:rsidP="005A38CE">
    <w:pPr>
      <w:rPr>
        <w:sz w:val="2"/>
        <w:szCs w:val="2"/>
      </w:rPr>
    </w:pPr>
  </w:p>
  <w:tbl>
    <w:tblPr>
      <w:tblW w:w="9250" w:type="dxa"/>
      <w:tblInd w:w="-176" w:type="dxa"/>
      <w:tblBorders>
        <w:top w:val="single" w:sz="8" w:space="0" w:color="910045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07"/>
      <w:gridCol w:w="2247"/>
      <w:gridCol w:w="2248"/>
      <w:gridCol w:w="2248"/>
    </w:tblGrid>
    <w:tr w:rsidR="005A38CE" w:rsidRPr="003C0F20" w14:paraId="4B4ED78B" w14:textId="77777777" w:rsidTr="004B7C57">
      <w:trPr>
        <w:trHeight w:val="357"/>
      </w:trPr>
      <w:tc>
        <w:tcPr>
          <w:tcW w:w="2507" w:type="dxa"/>
          <w:tcBorders>
            <w:top w:val="single" w:sz="8" w:space="0" w:color="A50358"/>
          </w:tcBorders>
        </w:tcPr>
        <w:p w14:paraId="15A65FCD" w14:textId="77777777" w:rsidR="005A38CE" w:rsidRPr="003C0F20" w:rsidRDefault="005A38CE" w:rsidP="005A38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A50358"/>
            </w:rPr>
          </w:pPr>
          <w:r w:rsidRPr="003C0F20">
            <w:rPr>
              <w:b/>
              <w:color w:val="A50358"/>
            </w:rPr>
            <w:t>Kontakt dla mediów</w:t>
          </w:r>
        </w:p>
      </w:tc>
      <w:tc>
        <w:tcPr>
          <w:tcW w:w="2247" w:type="dxa"/>
          <w:tcBorders>
            <w:top w:val="single" w:sz="8" w:space="0" w:color="A50358"/>
          </w:tcBorders>
        </w:tcPr>
        <w:p w14:paraId="2AB60A00" w14:textId="77777777" w:rsidR="005A38CE" w:rsidRPr="003C0F20" w:rsidRDefault="005A38CE" w:rsidP="005A38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7F7F7F"/>
              <w:sz w:val="18"/>
              <w:szCs w:val="18"/>
            </w:rPr>
          </w:pPr>
        </w:p>
      </w:tc>
      <w:tc>
        <w:tcPr>
          <w:tcW w:w="2248" w:type="dxa"/>
          <w:tcBorders>
            <w:top w:val="single" w:sz="8" w:space="0" w:color="A50358"/>
          </w:tcBorders>
        </w:tcPr>
        <w:p w14:paraId="24AA6344" w14:textId="77777777" w:rsidR="005A38CE" w:rsidRPr="00CB325E" w:rsidRDefault="00345734" w:rsidP="005A38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7F7F7F"/>
              <w:sz w:val="20"/>
              <w:szCs w:val="20"/>
            </w:rPr>
          </w:pPr>
          <w:hyperlink r:id="rId1" w:history="1">
            <w:r w:rsidR="005A38CE" w:rsidRPr="00CB325E">
              <w:rPr>
                <w:rStyle w:val="Hipercze"/>
                <w:sz w:val="20"/>
                <w:szCs w:val="20"/>
              </w:rPr>
              <w:t>pr@fairplay.pl</w:t>
            </w:r>
          </w:hyperlink>
          <w:r w:rsidR="005A38CE" w:rsidRPr="00CB325E">
            <w:rPr>
              <w:color w:val="7F7F7F"/>
              <w:sz w:val="20"/>
              <w:szCs w:val="20"/>
            </w:rPr>
            <w:t xml:space="preserve"> </w:t>
          </w:r>
        </w:p>
      </w:tc>
      <w:tc>
        <w:tcPr>
          <w:tcW w:w="2248" w:type="dxa"/>
          <w:tcBorders>
            <w:top w:val="single" w:sz="8" w:space="0" w:color="A50358"/>
          </w:tcBorders>
        </w:tcPr>
        <w:p w14:paraId="37AEE332" w14:textId="77777777" w:rsidR="005A38CE" w:rsidRPr="00CB325E" w:rsidRDefault="005A38CE" w:rsidP="005A38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7F7F7F"/>
              <w:sz w:val="20"/>
              <w:szCs w:val="20"/>
            </w:rPr>
          </w:pPr>
          <w:proofErr w:type="gramStart"/>
          <w:r w:rsidRPr="00CB325E">
            <w:rPr>
              <w:color w:val="7F7F7F"/>
              <w:sz w:val="20"/>
              <w:szCs w:val="20"/>
            </w:rPr>
            <w:t>tel</w:t>
          </w:r>
          <w:proofErr w:type="gramEnd"/>
          <w:r w:rsidRPr="00CB325E">
            <w:rPr>
              <w:color w:val="7F7F7F"/>
              <w:sz w:val="20"/>
              <w:szCs w:val="20"/>
            </w:rPr>
            <w:t>.: 883 827 515</w:t>
          </w:r>
        </w:p>
      </w:tc>
    </w:tr>
  </w:tbl>
  <w:p w14:paraId="2AAFDC4B" w14:textId="77777777" w:rsidR="005A38CE" w:rsidRDefault="005A38CE" w:rsidP="005A38CE">
    <w:pPr>
      <w:pStyle w:val="Stopka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2F932" wp14:editId="023EC5BD">
              <wp:simplePos x="0" y="0"/>
              <wp:positionH relativeFrom="column">
                <wp:posOffset>1756393</wp:posOffset>
              </wp:positionH>
              <wp:positionV relativeFrom="paragraph">
                <wp:posOffset>108912</wp:posOffset>
              </wp:positionV>
              <wp:extent cx="2091690" cy="37973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690" cy="379730"/>
                      </a:xfrm>
                      <a:prstGeom prst="rect">
                        <a:avLst/>
                      </a:prstGeom>
                      <a:solidFill>
                        <a:srgbClr val="A50358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B33C1A" w14:textId="77777777" w:rsidR="005A38CE" w:rsidRPr="003C0F20" w:rsidRDefault="005A38CE" w:rsidP="005A38CE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proofErr w:type="gramStart"/>
                          <w:r w:rsidRPr="003C0F20">
                            <w:rPr>
                              <w:b/>
                              <w:color w:val="FFFFFF"/>
                            </w:rPr>
                            <w:t>www</w:t>
                          </w:r>
                          <w:proofErr w:type="gramEnd"/>
                          <w:r w:rsidRPr="003C0F20">
                            <w:rPr>
                              <w:b/>
                              <w:color w:val="FFFFFF"/>
                            </w:rPr>
                            <w:t>.</w:t>
                          </w:r>
                          <w:proofErr w:type="gramStart"/>
                          <w:r w:rsidRPr="003C0F20">
                            <w:rPr>
                              <w:b/>
                              <w:color w:val="FFFFFF"/>
                            </w:rPr>
                            <w:t>fairplay</w:t>
                          </w:r>
                          <w:proofErr w:type="gramEnd"/>
                          <w:r w:rsidRPr="003C0F20">
                            <w:rPr>
                              <w:b/>
                              <w:color w:val="FFFFFF"/>
                            </w:rPr>
                            <w:t>.</w:t>
                          </w:r>
                          <w:proofErr w:type="gramStart"/>
                          <w:r w:rsidRPr="003C0F20">
                            <w:rPr>
                              <w:b/>
                              <w:color w:val="FFFFFF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A2F9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8.3pt;margin-top:8.6pt;width:164.7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" fillcolor="#a50358" stroked="f">
              <v:textbox>
                <w:txbxContent>
                  <w:p w14:paraId="33B33C1A" w14:textId="77777777" w:rsidR="005A38CE" w:rsidRPr="003C0F20" w:rsidRDefault="005A38CE" w:rsidP="005A38CE">
                    <w:pPr>
                      <w:jc w:val="center"/>
                      <w:rPr>
                        <w:b/>
                        <w:color w:val="FFFFFF"/>
                      </w:rPr>
                    </w:pPr>
                    <w:r w:rsidRPr="003C0F20">
                      <w:rPr>
                        <w:b/>
                        <w:color w:val="FFFFFF"/>
                      </w:rPr>
                      <w:t>www.fairplay.pl</w:t>
                    </w:r>
                  </w:p>
                </w:txbxContent>
              </v:textbox>
            </v:shape>
          </w:pict>
        </mc:Fallback>
      </mc:AlternateContent>
    </w:r>
  </w:p>
  <w:p w14:paraId="0F08B26E" w14:textId="579259E5" w:rsidR="00A603B2" w:rsidRPr="00E76BA1" w:rsidRDefault="00A603B2" w:rsidP="00A603B2">
    <w:pPr>
      <w:pStyle w:val="Stopka"/>
      <w:spacing w:line="180" w:lineRule="exact"/>
      <w:rPr>
        <w:color w:val="595959" w:themeColor="text1" w:themeTint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3D597" w14:textId="77777777" w:rsidR="00345734" w:rsidRDefault="00345734" w:rsidP="00A603B2">
      <w:r>
        <w:separator/>
      </w:r>
    </w:p>
  </w:footnote>
  <w:footnote w:type="continuationSeparator" w:id="0">
    <w:p w14:paraId="077950A5" w14:textId="77777777" w:rsidR="00345734" w:rsidRDefault="00345734" w:rsidP="00A6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517DF"/>
    <w:multiLevelType w:val="hybridMultilevel"/>
    <w:tmpl w:val="F7DC3B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B2"/>
    <w:rsid w:val="00022660"/>
    <w:rsid w:val="00064BEA"/>
    <w:rsid w:val="000B4A34"/>
    <w:rsid w:val="000E18FB"/>
    <w:rsid w:val="000E60DA"/>
    <w:rsid w:val="001E018F"/>
    <w:rsid w:val="002444BD"/>
    <w:rsid w:val="0027323B"/>
    <w:rsid w:val="00276C43"/>
    <w:rsid w:val="00303012"/>
    <w:rsid w:val="00333AD6"/>
    <w:rsid w:val="00345734"/>
    <w:rsid w:val="003E7DD1"/>
    <w:rsid w:val="004107E5"/>
    <w:rsid w:val="00420714"/>
    <w:rsid w:val="004640FC"/>
    <w:rsid w:val="004A0898"/>
    <w:rsid w:val="004B7C57"/>
    <w:rsid w:val="004D1CDD"/>
    <w:rsid w:val="005A38CE"/>
    <w:rsid w:val="006023F4"/>
    <w:rsid w:val="00603D2C"/>
    <w:rsid w:val="00674BD5"/>
    <w:rsid w:val="006B60C4"/>
    <w:rsid w:val="006C291A"/>
    <w:rsid w:val="006C6DC2"/>
    <w:rsid w:val="00714484"/>
    <w:rsid w:val="00772E50"/>
    <w:rsid w:val="00795ACC"/>
    <w:rsid w:val="007D5703"/>
    <w:rsid w:val="0091081E"/>
    <w:rsid w:val="00910EFD"/>
    <w:rsid w:val="0091362E"/>
    <w:rsid w:val="00916E30"/>
    <w:rsid w:val="00A0269D"/>
    <w:rsid w:val="00A238E7"/>
    <w:rsid w:val="00A42BD2"/>
    <w:rsid w:val="00A44FF3"/>
    <w:rsid w:val="00A47D08"/>
    <w:rsid w:val="00A603B2"/>
    <w:rsid w:val="00AC1F27"/>
    <w:rsid w:val="00B11786"/>
    <w:rsid w:val="00B1698C"/>
    <w:rsid w:val="00BF6041"/>
    <w:rsid w:val="00CE7448"/>
    <w:rsid w:val="00D52215"/>
    <w:rsid w:val="00D56B89"/>
    <w:rsid w:val="00D663C8"/>
    <w:rsid w:val="00D91DDE"/>
    <w:rsid w:val="00E16C1B"/>
    <w:rsid w:val="00E60E52"/>
    <w:rsid w:val="00E76BA1"/>
    <w:rsid w:val="00E77A10"/>
    <w:rsid w:val="00E9108E"/>
    <w:rsid w:val="00ED5AAB"/>
    <w:rsid w:val="00EF3AAA"/>
    <w:rsid w:val="00F13A57"/>
    <w:rsid w:val="00F26E18"/>
    <w:rsid w:val="00F30CE8"/>
    <w:rsid w:val="00F5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D245"/>
  <w15:chartTrackingRefBased/>
  <w15:docId w15:val="{A5B6881B-8C31-4C6F-A783-E4DFBD09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Szansa"/>
    <w:qFormat/>
    <w:rsid w:val="00A60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1">
    <w:name w:val="heading 1"/>
    <w:aliases w:val="Nagłówek Szansa"/>
    <w:basedOn w:val="Normalny"/>
    <w:next w:val="Normalny"/>
    <w:link w:val="Nagwek1Znak"/>
    <w:autoRedefine/>
    <w:uiPriority w:val="9"/>
    <w:qFormat/>
    <w:rsid w:val="00F13A5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zansa Znak"/>
    <w:basedOn w:val="Domylnaczcionkaakapitu"/>
    <w:link w:val="Nagwek1"/>
    <w:uiPriority w:val="9"/>
    <w:rsid w:val="00F13A57"/>
    <w:rPr>
      <w:rFonts w:eastAsiaTheme="majorEastAsia" w:cstheme="majorBidi"/>
      <w:b/>
      <w:color w:val="000000" w:themeColor="text1"/>
      <w:sz w:val="28"/>
      <w:szCs w:val="32"/>
    </w:rPr>
  </w:style>
  <w:style w:type="paragraph" w:styleId="Tytu">
    <w:name w:val="Title"/>
    <w:aliases w:val="Tytuł Szansa"/>
    <w:basedOn w:val="Normalny"/>
    <w:next w:val="Normalny"/>
    <w:link w:val="TytuZnak"/>
    <w:autoRedefine/>
    <w:uiPriority w:val="10"/>
    <w:qFormat/>
    <w:rsid w:val="004107E5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aliases w:val="Tytuł Szansa Znak"/>
    <w:basedOn w:val="Domylnaczcionkaakapitu"/>
    <w:link w:val="Tytu"/>
    <w:uiPriority w:val="10"/>
    <w:rsid w:val="004107E5"/>
    <w:rPr>
      <w:rFonts w:eastAsiaTheme="majorEastAsia" w:cstheme="majorBidi"/>
      <w:b/>
      <w:spacing w:val="-10"/>
      <w:kern w:val="28"/>
      <w:sz w:val="32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6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3B2"/>
    <w:rPr>
      <w:rFonts w:ascii="Calibri" w:eastAsia="Calibri" w:hAnsi="Calibri" w:cs="Calibri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60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3B2"/>
    <w:rPr>
      <w:rFonts w:ascii="Calibri" w:eastAsia="Calibri" w:hAnsi="Calibri" w:cs="Calibri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A603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03B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269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03012"/>
    <w:pPr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913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pfp.fairplay.pl/pfp_deklaracja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irpla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irplay.pl/wp-content/uploads/2024/01/Regulamin_Przedsiebiorstwo_Fair_Play_2024_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airplay.pl/wp-content/uploads/2024/01/Biuletyn_PFP_laureaci_2023_fotorelacja_z_gali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fairpla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Instytut BnDiPP</cp:lastModifiedBy>
  <cp:revision>2</cp:revision>
  <dcterms:created xsi:type="dcterms:W3CDTF">2024-04-05T17:41:00Z</dcterms:created>
  <dcterms:modified xsi:type="dcterms:W3CDTF">2024-04-05T17:41:00Z</dcterms:modified>
</cp:coreProperties>
</file>